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DA66" w14:textId="77777777" w:rsidR="00AF2721" w:rsidRPr="001705D4" w:rsidRDefault="00AF2721" w:rsidP="00AF2721">
      <w:pPr>
        <w:contextualSpacing/>
        <w:jc w:val="center"/>
        <w:rPr>
          <w:rFonts w:ascii="Times New Roman" w:hAnsi="Times New Roman" w:cs="Times New Roman"/>
          <w:b/>
          <w:bCs/>
          <w:sz w:val="22"/>
          <w:szCs w:val="22"/>
          <w:u w:val="single"/>
        </w:rPr>
      </w:pPr>
      <w:r w:rsidRPr="001705D4">
        <w:rPr>
          <w:rFonts w:ascii="Times New Roman" w:hAnsi="Times New Roman" w:cs="Times New Roman"/>
          <w:b/>
          <w:bCs/>
          <w:sz w:val="22"/>
          <w:szCs w:val="22"/>
          <w:u w:val="single"/>
        </w:rPr>
        <w:t>Graduate Assistantships in Exercise Science</w:t>
      </w:r>
    </w:p>
    <w:p w14:paraId="4F4C80A7" w14:textId="68DEE4A4"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Positions Available Fall 202</w:t>
      </w:r>
      <w:r w:rsidR="00FC65DC">
        <w:rPr>
          <w:rFonts w:ascii="Times New Roman" w:hAnsi="Times New Roman" w:cs="Times New Roman"/>
          <w:b/>
          <w:bCs/>
          <w:sz w:val="22"/>
          <w:szCs w:val="22"/>
        </w:rPr>
        <w:t>5</w:t>
      </w:r>
      <w:r w:rsidRPr="001705D4">
        <w:rPr>
          <w:rFonts w:ascii="Times New Roman" w:hAnsi="Times New Roman" w:cs="Times New Roman"/>
          <w:b/>
          <w:bCs/>
          <w:sz w:val="22"/>
          <w:szCs w:val="22"/>
        </w:rPr>
        <w:t xml:space="preserve">: </w:t>
      </w:r>
      <w:r w:rsidRPr="001705D4">
        <w:rPr>
          <w:rFonts w:ascii="Times New Roman" w:hAnsi="Times New Roman" w:cs="Times New Roman"/>
          <w:sz w:val="22"/>
          <w:szCs w:val="22"/>
        </w:rPr>
        <w:t>Graduate Teaching Assistantships (GTA) and Graduate Research Assistantships (GRA) are available within the School of Health and Consumer Sciences.</w:t>
      </w:r>
      <w:r w:rsidRPr="001705D4">
        <w:rPr>
          <w:rFonts w:ascii="Times New Roman" w:hAnsi="Times New Roman" w:cs="Times New Roman"/>
          <w:b/>
          <w:bCs/>
          <w:sz w:val="22"/>
          <w:szCs w:val="22"/>
        </w:rPr>
        <w:t xml:space="preserve"> </w:t>
      </w:r>
    </w:p>
    <w:p w14:paraId="44F05B69" w14:textId="76BE1903" w:rsidR="00AF2721" w:rsidRPr="001705D4" w:rsidRDefault="00AF2721" w:rsidP="00AF2721">
      <w:pPr>
        <w:pStyle w:val="ListParagraph"/>
        <w:numPr>
          <w:ilvl w:val="0"/>
          <w:numId w:val="11"/>
        </w:numPr>
        <w:rPr>
          <w:rFonts w:ascii="Times New Roman" w:hAnsi="Times New Roman" w:cs="Times New Roman"/>
          <w:b/>
          <w:bCs/>
          <w:sz w:val="22"/>
          <w:szCs w:val="22"/>
        </w:rPr>
      </w:pPr>
      <w:r w:rsidRPr="001705D4">
        <w:rPr>
          <w:rFonts w:ascii="Times New Roman" w:hAnsi="Times New Roman" w:cs="Times New Roman"/>
          <w:b/>
          <w:bCs/>
          <w:sz w:val="22"/>
          <w:szCs w:val="22"/>
        </w:rPr>
        <w:t xml:space="preserve">GTAs are responsible for teaching 100 and 200 classes such as PE 100 activity courses and HLTH 100 wellness for life. GTAs are also charged with assisting faculty with laboratories in the Exercise Science curriculum such as EXS 400 Exercise Testing and Prescription, EXS 367 Health and Human Performance, and EXS 420 Group Exercise Facility Management.  </w:t>
      </w:r>
    </w:p>
    <w:p w14:paraId="2E1A2C61" w14:textId="701A7FC1" w:rsidR="00AF2721" w:rsidRDefault="00AF2721" w:rsidP="00AF2721">
      <w:pPr>
        <w:pStyle w:val="ListParagraph"/>
        <w:numPr>
          <w:ilvl w:val="0"/>
          <w:numId w:val="11"/>
        </w:numPr>
        <w:rPr>
          <w:rFonts w:ascii="Times New Roman" w:hAnsi="Times New Roman" w:cs="Times New Roman"/>
          <w:b/>
          <w:bCs/>
          <w:sz w:val="22"/>
          <w:szCs w:val="22"/>
        </w:rPr>
      </w:pPr>
      <w:r w:rsidRPr="001705D4">
        <w:rPr>
          <w:rFonts w:ascii="Times New Roman" w:hAnsi="Times New Roman" w:cs="Times New Roman"/>
          <w:b/>
          <w:bCs/>
          <w:sz w:val="22"/>
          <w:szCs w:val="22"/>
        </w:rPr>
        <w:t>GRAs are charged with assistance on research led by faculty within the School of Health and Human Sciences. GRAs are trained by the faculty in which they are employed to assist in data collection, data management, literature reviews, referencing, and duties as assigned.</w:t>
      </w:r>
      <w:r w:rsidR="0025419C">
        <w:rPr>
          <w:rFonts w:ascii="Times New Roman" w:hAnsi="Times New Roman" w:cs="Times New Roman"/>
          <w:b/>
          <w:bCs/>
          <w:sz w:val="22"/>
          <w:szCs w:val="22"/>
        </w:rPr>
        <w:t xml:space="preserve">  Students interested in GRA positions should reach out to individual faculty to indicate their interest in joining their lab.</w:t>
      </w:r>
    </w:p>
    <w:p w14:paraId="268D308C" w14:textId="77777777" w:rsidR="00AF2721" w:rsidRPr="00AF2721" w:rsidRDefault="00AF2721" w:rsidP="00AF2721">
      <w:pPr>
        <w:pStyle w:val="ListParagraph"/>
        <w:rPr>
          <w:rFonts w:ascii="Times New Roman" w:hAnsi="Times New Roman" w:cs="Times New Roman"/>
          <w:b/>
          <w:bCs/>
          <w:sz w:val="22"/>
          <w:szCs w:val="22"/>
        </w:rPr>
      </w:pPr>
    </w:p>
    <w:p w14:paraId="3D25605A" w14:textId="5E809227"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Qualifications: </w:t>
      </w:r>
      <w:r w:rsidRPr="001705D4">
        <w:rPr>
          <w:rFonts w:ascii="Times New Roman" w:hAnsi="Times New Roman" w:cs="Times New Roman"/>
          <w:sz w:val="22"/>
          <w:szCs w:val="22"/>
        </w:rPr>
        <w:t>For GTA positions group exercise instruction and/or experience in the area of fitness, activity, or wellness preferred</w:t>
      </w:r>
      <w:proofErr w:type="gramStart"/>
      <w:r w:rsidRPr="001705D4">
        <w:rPr>
          <w:rFonts w:ascii="Times New Roman" w:hAnsi="Times New Roman" w:cs="Times New Roman"/>
          <w:sz w:val="22"/>
          <w:szCs w:val="22"/>
        </w:rPr>
        <w:t xml:space="preserve">. </w:t>
      </w:r>
      <w:proofErr w:type="gramEnd"/>
      <w:r w:rsidRPr="001705D4">
        <w:rPr>
          <w:rFonts w:ascii="Times New Roman" w:hAnsi="Times New Roman" w:cs="Times New Roman"/>
          <w:sz w:val="22"/>
          <w:szCs w:val="22"/>
        </w:rPr>
        <w:t>For GRA positions research experience is preferred. GTAs</w:t>
      </w:r>
      <w:r w:rsidR="004F53A0">
        <w:rPr>
          <w:rFonts w:ascii="Times New Roman" w:hAnsi="Times New Roman" w:cs="Times New Roman"/>
          <w:sz w:val="22"/>
          <w:szCs w:val="22"/>
        </w:rPr>
        <w:t xml:space="preserve"> and GRAs</w:t>
      </w:r>
      <w:r w:rsidRPr="001705D4">
        <w:rPr>
          <w:rFonts w:ascii="Times New Roman" w:hAnsi="Times New Roman" w:cs="Times New Roman"/>
          <w:sz w:val="22"/>
          <w:szCs w:val="22"/>
        </w:rPr>
        <w:t xml:space="preserve"> must be simultaneously enrolled in a graduate degree program. Preference will be given to students earning a MS or PhD in Nutrition and Exercise Science.</w:t>
      </w:r>
      <w:r w:rsidRPr="001705D4">
        <w:rPr>
          <w:rFonts w:ascii="Times New Roman" w:hAnsi="Times New Roman" w:cs="Times New Roman"/>
          <w:b/>
          <w:bCs/>
          <w:sz w:val="22"/>
          <w:szCs w:val="22"/>
        </w:rPr>
        <w:t xml:space="preserve"> </w:t>
      </w:r>
    </w:p>
    <w:p w14:paraId="5DEE31BD" w14:textId="18050F89"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Position Duration: </w:t>
      </w:r>
      <w:r w:rsidRPr="001705D4">
        <w:rPr>
          <w:rFonts w:ascii="Times New Roman" w:hAnsi="Times New Roman" w:cs="Times New Roman"/>
          <w:sz w:val="22"/>
          <w:szCs w:val="22"/>
        </w:rPr>
        <w:t>Approximately 19 hours/week with a 9- or 12-month contract depending on the position type.</w:t>
      </w:r>
      <w:r w:rsidRPr="001705D4">
        <w:rPr>
          <w:rFonts w:ascii="Times New Roman" w:hAnsi="Times New Roman" w:cs="Times New Roman"/>
          <w:b/>
          <w:bCs/>
          <w:sz w:val="22"/>
          <w:szCs w:val="22"/>
        </w:rPr>
        <w:t xml:space="preserve"> </w:t>
      </w:r>
    </w:p>
    <w:p w14:paraId="15F6FFB9" w14:textId="77777777"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Stipend/Salary: </w:t>
      </w:r>
      <w:r w:rsidRPr="001705D4">
        <w:rPr>
          <w:rFonts w:ascii="Times New Roman" w:hAnsi="Times New Roman" w:cs="Times New Roman"/>
          <w:sz w:val="22"/>
          <w:szCs w:val="22"/>
        </w:rPr>
        <w:t>Approximately $14,300 -19,100 (MS Student) and $18,400 – 24,500 (PhD Student)</w:t>
      </w:r>
      <w:r w:rsidRPr="001705D4">
        <w:rPr>
          <w:rFonts w:ascii="Times New Roman" w:hAnsi="Times New Roman" w:cs="Times New Roman"/>
          <w:b/>
          <w:bCs/>
          <w:sz w:val="22"/>
          <w:szCs w:val="22"/>
        </w:rPr>
        <w:t xml:space="preserve"> </w:t>
      </w:r>
    </w:p>
    <w:p w14:paraId="3FBD0A70" w14:textId="77777777"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Tuition Waiver: </w:t>
      </w:r>
      <w:r w:rsidRPr="001705D4">
        <w:rPr>
          <w:rFonts w:ascii="Times New Roman" w:hAnsi="Times New Roman" w:cs="Times New Roman"/>
          <w:sz w:val="22"/>
          <w:szCs w:val="22"/>
        </w:rPr>
        <w:t>Full tuition waiver for all graduate assistance both in- and out-in-state. Students are responsible for paying ~$43.75/credit hour for fees.</w:t>
      </w:r>
      <w:r w:rsidRPr="001705D4">
        <w:rPr>
          <w:rFonts w:ascii="Times New Roman" w:hAnsi="Times New Roman" w:cs="Times New Roman"/>
          <w:b/>
          <w:bCs/>
          <w:sz w:val="22"/>
          <w:szCs w:val="22"/>
        </w:rPr>
        <w:t xml:space="preserve"> </w:t>
      </w:r>
    </w:p>
    <w:p w14:paraId="5246474C" w14:textId="77777777"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Duration: </w:t>
      </w:r>
      <w:r w:rsidRPr="001705D4">
        <w:rPr>
          <w:rFonts w:ascii="Times New Roman" w:hAnsi="Times New Roman" w:cs="Times New Roman"/>
          <w:sz w:val="22"/>
          <w:szCs w:val="22"/>
        </w:rPr>
        <w:t>GTA contracts are for one 9-month academic year with the option of renewal if the students is returning for a subsequent year.</w:t>
      </w:r>
      <w:r w:rsidRPr="001705D4">
        <w:rPr>
          <w:rFonts w:ascii="Times New Roman" w:hAnsi="Times New Roman" w:cs="Times New Roman"/>
          <w:b/>
          <w:bCs/>
          <w:sz w:val="22"/>
          <w:szCs w:val="22"/>
        </w:rPr>
        <w:t xml:space="preserve"> </w:t>
      </w:r>
    </w:p>
    <w:p w14:paraId="6D2A1BED" w14:textId="77777777" w:rsidR="00AF2721" w:rsidRPr="001705D4" w:rsidRDefault="00AF2721" w:rsidP="00AF2721">
      <w:pPr>
        <w:contextualSpacing/>
        <w:rPr>
          <w:rFonts w:ascii="Times New Roman" w:hAnsi="Times New Roman" w:cs="Times New Roman"/>
          <w:sz w:val="22"/>
          <w:szCs w:val="22"/>
        </w:rPr>
      </w:pPr>
      <w:r w:rsidRPr="001705D4">
        <w:rPr>
          <w:rFonts w:ascii="Times New Roman" w:hAnsi="Times New Roman" w:cs="Times New Roman"/>
          <w:b/>
          <w:bCs/>
          <w:sz w:val="22"/>
          <w:szCs w:val="22"/>
        </w:rPr>
        <w:t xml:space="preserve">Graduate Program: </w:t>
      </w:r>
      <w:r w:rsidRPr="001705D4">
        <w:rPr>
          <w:rFonts w:ascii="Times New Roman" w:hAnsi="Times New Roman" w:cs="Times New Roman"/>
          <w:sz w:val="22"/>
          <w:szCs w:val="22"/>
        </w:rPr>
        <w:t>https://www.sdstate.edu/programs/graduate/nutrition-exercise-sciences-ms-exercise-science-specialization</w:t>
      </w:r>
    </w:p>
    <w:p w14:paraId="037E53D4" w14:textId="77777777"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Deadline: </w:t>
      </w:r>
      <w:r w:rsidRPr="001705D4">
        <w:rPr>
          <w:rFonts w:ascii="Times New Roman" w:hAnsi="Times New Roman" w:cs="Times New Roman"/>
          <w:sz w:val="22"/>
          <w:szCs w:val="22"/>
        </w:rPr>
        <w:t xml:space="preserve">4/15/25  </w:t>
      </w:r>
      <w:r w:rsidRPr="001705D4">
        <w:rPr>
          <w:rFonts w:ascii="Times New Roman" w:hAnsi="Times New Roman" w:cs="Times New Roman"/>
          <w:b/>
          <w:bCs/>
          <w:sz w:val="22"/>
          <w:szCs w:val="22"/>
        </w:rPr>
        <w:t xml:space="preserve"> </w:t>
      </w:r>
    </w:p>
    <w:p w14:paraId="2062A1E4" w14:textId="77777777"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GTA Contact information: </w:t>
      </w:r>
      <w:r w:rsidRPr="001705D4">
        <w:rPr>
          <w:rFonts w:ascii="Times New Roman" w:hAnsi="Times New Roman" w:cs="Times New Roman"/>
          <w:sz w:val="22"/>
          <w:szCs w:val="22"/>
        </w:rPr>
        <w:t>Allison Barry, PhD (allison.barry@sdstate.edu)</w:t>
      </w:r>
    </w:p>
    <w:p w14:paraId="3C5D5FCB" w14:textId="77777777" w:rsidR="002F1DA0" w:rsidRDefault="002F1DA0" w:rsidP="00AF2721">
      <w:pPr>
        <w:contextualSpacing/>
        <w:rPr>
          <w:rFonts w:ascii="Times New Roman" w:hAnsi="Times New Roman" w:cs="Times New Roman"/>
          <w:b/>
          <w:bCs/>
          <w:sz w:val="22"/>
          <w:szCs w:val="22"/>
        </w:rPr>
      </w:pPr>
    </w:p>
    <w:p w14:paraId="02E97250" w14:textId="7DF85EE5" w:rsidR="00AF2721" w:rsidRPr="001705D4" w:rsidRDefault="00AF2721" w:rsidP="00AF2721">
      <w:pPr>
        <w:contextualSpacing/>
        <w:rPr>
          <w:rFonts w:ascii="Times New Roman" w:hAnsi="Times New Roman" w:cs="Times New Roman"/>
          <w:b/>
          <w:bCs/>
          <w:sz w:val="22"/>
          <w:szCs w:val="22"/>
        </w:rPr>
      </w:pPr>
      <w:r w:rsidRPr="001705D4">
        <w:rPr>
          <w:rFonts w:ascii="Times New Roman" w:hAnsi="Times New Roman" w:cs="Times New Roman"/>
          <w:b/>
          <w:bCs/>
          <w:sz w:val="22"/>
          <w:szCs w:val="22"/>
        </w:rPr>
        <w:t xml:space="preserve">GRA Positions: </w:t>
      </w:r>
    </w:p>
    <w:p w14:paraId="50D3094E" w14:textId="77777777" w:rsidR="00AF2721" w:rsidRPr="001705D4" w:rsidRDefault="00AF2721" w:rsidP="00AF2721">
      <w:pPr>
        <w:contextualSpacing/>
        <w:rPr>
          <w:rFonts w:ascii="Times New Roman" w:eastAsia="Times New Roman" w:hAnsi="Times New Roman" w:cs="Times New Roman"/>
          <w:color w:val="000000"/>
          <w:sz w:val="22"/>
          <w:szCs w:val="22"/>
        </w:rPr>
      </w:pPr>
      <w:r w:rsidRPr="001705D4">
        <w:rPr>
          <w:rFonts w:ascii="Times New Roman" w:hAnsi="Times New Roman" w:cs="Times New Roman"/>
          <w:b/>
          <w:bCs/>
          <w:sz w:val="22"/>
          <w:szCs w:val="22"/>
        </w:rPr>
        <w:t xml:space="preserve">Dr. Allison Barry: </w:t>
      </w:r>
      <w:r w:rsidRPr="001705D4">
        <w:rPr>
          <w:rFonts w:ascii="Times New Roman" w:hAnsi="Times New Roman" w:cs="Times New Roman"/>
          <w:sz w:val="22"/>
          <w:szCs w:val="22"/>
        </w:rPr>
        <w:t xml:space="preserve">Her research focuses on improving cardiorespiratory fitness through increased levels of physical activity in different tactical populations. Additionally, she uses this information to create Wellness Fitness Initiatives in fire and law enforcement departments. </w:t>
      </w:r>
      <w:r w:rsidRPr="001705D4">
        <w:rPr>
          <w:rFonts w:ascii="Times New Roman" w:eastAsia="Times New Roman" w:hAnsi="Times New Roman" w:cs="Times New Roman"/>
          <w:color w:val="000000"/>
          <w:sz w:val="22"/>
          <w:szCs w:val="22"/>
        </w:rPr>
        <w:t>She currently is the Tactical Representative for the South Dakota National Strength and Conditioning Association. She was recently awarded a grant from FEMA to investigate ways to increase physical activity and nutrition in volunteer fire departments in South Dakota. </w:t>
      </w:r>
    </w:p>
    <w:p w14:paraId="4B18CF8D" w14:textId="77777777" w:rsidR="00AF2721" w:rsidRPr="001705D4" w:rsidRDefault="00AF2721" w:rsidP="00AF2721">
      <w:pPr>
        <w:contextualSpacing/>
        <w:rPr>
          <w:rFonts w:ascii="Times New Roman" w:eastAsia="Times New Roman" w:hAnsi="Times New Roman" w:cs="Times New Roman"/>
          <w:sz w:val="22"/>
          <w:szCs w:val="22"/>
        </w:rPr>
      </w:pPr>
      <w:hyperlink r:id="rId8" w:history="1">
        <w:r w:rsidRPr="001705D4">
          <w:rPr>
            <w:rStyle w:val="Hyperlink"/>
            <w:rFonts w:ascii="Times New Roman" w:eastAsia="Times New Roman" w:hAnsi="Times New Roman" w:cs="Times New Roman"/>
            <w:sz w:val="22"/>
            <w:szCs w:val="22"/>
          </w:rPr>
          <w:t>https://www.sdstate.edu/news/2024/09/wellness-firefighters</w:t>
        </w:r>
      </w:hyperlink>
    </w:p>
    <w:p w14:paraId="11DF3961" w14:textId="77777777" w:rsidR="00AF2721" w:rsidRPr="001705D4" w:rsidRDefault="00AF2721" w:rsidP="00AF2721">
      <w:pPr>
        <w:contextualSpacing/>
        <w:rPr>
          <w:rFonts w:ascii="Times New Roman" w:eastAsia="Times New Roman" w:hAnsi="Times New Roman" w:cs="Times New Roman"/>
          <w:sz w:val="22"/>
          <w:szCs w:val="22"/>
        </w:rPr>
      </w:pPr>
      <w:r w:rsidRPr="001705D4">
        <w:rPr>
          <w:rFonts w:ascii="Times New Roman" w:eastAsia="Times New Roman" w:hAnsi="Times New Roman" w:cs="Times New Roman"/>
          <w:sz w:val="22"/>
          <w:szCs w:val="22"/>
        </w:rPr>
        <w:t>Contact information: allison.barry@sdstate.edu</w:t>
      </w:r>
    </w:p>
    <w:p w14:paraId="3BA8F9F5" w14:textId="77777777" w:rsidR="00AF2721" w:rsidRPr="001705D4" w:rsidRDefault="00AF2721" w:rsidP="00AF2721">
      <w:pPr>
        <w:contextualSpacing/>
        <w:rPr>
          <w:rFonts w:ascii="Times New Roman" w:hAnsi="Times New Roman" w:cs="Times New Roman"/>
          <w:b/>
          <w:bCs/>
          <w:sz w:val="22"/>
          <w:szCs w:val="22"/>
        </w:rPr>
      </w:pPr>
    </w:p>
    <w:p w14:paraId="5C89FCED" w14:textId="6D479665" w:rsidR="00AF2721" w:rsidRDefault="00AF2721" w:rsidP="00AF2721">
      <w:pPr>
        <w:rPr>
          <w:rFonts w:ascii="Times New Roman" w:hAnsi="Times New Roman" w:cs="Times New Roman"/>
          <w:sz w:val="22"/>
          <w:szCs w:val="22"/>
        </w:rPr>
      </w:pPr>
      <w:r w:rsidRPr="0005708C">
        <w:rPr>
          <w:rFonts w:ascii="Times New Roman" w:hAnsi="Times New Roman" w:cs="Times New Roman"/>
          <w:b/>
          <w:bCs/>
          <w:sz w:val="22"/>
          <w:szCs w:val="22"/>
        </w:rPr>
        <w:t>Dr. Lee Weidauer:</w:t>
      </w:r>
      <w:r w:rsidR="004F53A0">
        <w:rPr>
          <w:rFonts w:ascii="Times New Roman" w:hAnsi="Times New Roman" w:cs="Times New Roman"/>
          <w:b/>
          <w:bCs/>
          <w:sz w:val="22"/>
          <w:szCs w:val="22"/>
        </w:rPr>
        <w:t xml:space="preserve"> </w:t>
      </w:r>
      <w:r w:rsidR="004F53A0">
        <w:rPr>
          <w:rFonts w:ascii="Times New Roman" w:hAnsi="Times New Roman" w:cs="Times New Roman"/>
          <w:sz w:val="22"/>
          <w:szCs w:val="22"/>
        </w:rPr>
        <w:t>His research focuses on improving the health of older adults through physical activity, exercise, and nutrition interventions.  His work focuses preventing sarcopenia and frailty, extending healthspan, maintaining independence and improving post-surgical outcomes in middle-aged and older adults.  He was recently awarded a grant from the USDA to investigate the feasibility and efficacy of a remotely delivered sarcopenia prevention program.  This project will be carried out across seven states and will be running for the next 4 years.</w:t>
      </w:r>
    </w:p>
    <w:p w14:paraId="2F97A345" w14:textId="0C322802" w:rsidR="004F53A0" w:rsidRDefault="004F53A0" w:rsidP="00AF2721">
      <w:pPr>
        <w:rPr>
          <w:rFonts w:ascii="Times New Roman" w:hAnsi="Times New Roman" w:cs="Times New Roman"/>
          <w:sz w:val="22"/>
          <w:szCs w:val="22"/>
        </w:rPr>
      </w:pPr>
      <w:r>
        <w:rPr>
          <w:rFonts w:ascii="Times New Roman" w:hAnsi="Times New Roman" w:cs="Times New Roman"/>
          <w:sz w:val="22"/>
          <w:szCs w:val="22"/>
        </w:rPr>
        <w:t xml:space="preserve">Contact information: </w:t>
      </w:r>
      <w:r w:rsidRPr="004F53A0">
        <w:rPr>
          <w:rFonts w:ascii="Times New Roman" w:hAnsi="Times New Roman" w:cs="Times New Roman"/>
          <w:sz w:val="22"/>
          <w:szCs w:val="22"/>
        </w:rPr>
        <w:t>Lee.Weidauer@sdstate.edu</w:t>
      </w:r>
    </w:p>
    <w:p w14:paraId="0E3B6E01" w14:textId="77777777" w:rsidR="004F53A0" w:rsidRPr="004F53A0" w:rsidRDefault="004F53A0" w:rsidP="00AF2721">
      <w:pPr>
        <w:rPr>
          <w:rFonts w:ascii="Times New Roman" w:hAnsi="Times New Roman" w:cs="Times New Roman"/>
          <w:sz w:val="22"/>
          <w:szCs w:val="22"/>
        </w:rPr>
      </w:pPr>
    </w:p>
    <w:p w14:paraId="34B8F088" w14:textId="77777777" w:rsidR="00AF2721" w:rsidRDefault="00AF2721" w:rsidP="00AF2721">
      <w:pPr>
        <w:rPr>
          <w:rFonts w:ascii="Times New Roman" w:hAnsi="Times New Roman" w:cs="Times New Roman"/>
          <w:b/>
          <w:bCs/>
        </w:rPr>
      </w:pPr>
    </w:p>
    <w:p w14:paraId="35F0627B" w14:textId="77777777" w:rsidR="00AF2721" w:rsidRDefault="00AF2721" w:rsidP="00AF2721">
      <w:pPr>
        <w:rPr>
          <w:rFonts w:ascii="Times New Roman" w:hAnsi="Times New Roman" w:cs="Times New Roman"/>
        </w:rPr>
      </w:pPr>
    </w:p>
    <w:sectPr w:rsidR="00AF2721" w:rsidSect="00C23F76">
      <w:headerReference w:type="first" r:id="rId9"/>
      <w:footerReference w:type="first" r:id="rId10"/>
      <w:pgSz w:w="12240" w:h="15840"/>
      <w:pgMar w:top="1987" w:right="1080" w:bottom="1699"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CA59" w14:textId="77777777" w:rsidR="00C026B5" w:rsidRDefault="00C026B5" w:rsidP="00FD001A">
      <w:r>
        <w:separator/>
      </w:r>
    </w:p>
  </w:endnote>
  <w:endnote w:type="continuationSeparator" w:id="0">
    <w:p w14:paraId="60F11642" w14:textId="77777777" w:rsidR="00C026B5" w:rsidRDefault="00C026B5" w:rsidP="00FD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96F3" w14:textId="767393C4" w:rsidR="00C23F76" w:rsidRDefault="004E2E2A">
    <w:pPr>
      <w:pStyle w:val="Footer"/>
    </w:pPr>
    <w:r>
      <w:rPr>
        <w:noProof/>
      </w:rPr>
      <w:drawing>
        <wp:anchor distT="0" distB="0" distL="114300" distR="114300" simplePos="0" relativeHeight="251671552" behindDoc="0" locked="0" layoutInCell="1" allowOverlap="1" wp14:anchorId="4AF8C5CE" wp14:editId="1492AC7F">
          <wp:simplePos x="0" y="0"/>
          <wp:positionH relativeFrom="margin">
            <wp:align>center</wp:align>
          </wp:positionH>
          <wp:positionV relativeFrom="paragraph">
            <wp:posOffset>11545</wp:posOffset>
          </wp:positionV>
          <wp:extent cx="8257472" cy="850323"/>
          <wp:effectExtent l="0" t="0" r="0" b="635"/>
          <wp:wrapNone/>
          <wp:docPr id="567120057" name="Picture 2" descr="College of Education and Human Sciences | School of Health and Human SciencesWagner Hall 425, Box 2275A | Brookings, SD 57007 | 605-688-5161 | www.sd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20057" name="Picture 2" descr="College of Education and Human Sciences | School of Health and Human SciencesWagner Hall 425, Box 2275A | Brookings, SD 57007 | 605-688-5161 | www.sdstate.edu"/>
                  <pic:cNvPicPr/>
                </pic:nvPicPr>
                <pic:blipFill>
                  <a:blip r:embed="rId1">
                    <a:extLst>
                      <a:ext uri="{28A0092B-C50C-407E-A947-70E740481C1C}">
                        <a14:useLocalDpi xmlns:a14="http://schemas.microsoft.com/office/drawing/2010/main" val="0"/>
                      </a:ext>
                    </a:extLst>
                  </a:blip>
                  <a:stretch>
                    <a:fillRect/>
                  </a:stretch>
                </pic:blipFill>
                <pic:spPr>
                  <a:xfrm>
                    <a:off x="0" y="0"/>
                    <a:ext cx="8257472" cy="85032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00D72" w14:textId="77777777" w:rsidR="00C026B5" w:rsidRDefault="00C026B5" w:rsidP="00FD001A">
      <w:r>
        <w:separator/>
      </w:r>
    </w:p>
  </w:footnote>
  <w:footnote w:type="continuationSeparator" w:id="0">
    <w:p w14:paraId="2B81ABEC" w14:textId="77777777" w:rsidR="00C026B5" w:rsidRDefault="00C026B5" w:rsidP="00FD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FD0E" w14:textId="57A4B20F" w:rsidR="00C23F76" w:rsidRDefault="004E2E2A">
    <w:pPr>
      <w:pStyle w:val="Header"/>
    </w:pPr>
    <w:r>
      <w:rPr>
        <w:noProof/>
      </w:rPr>
      <w:drawing>
        <wp:anchor distT="0" distB="0" distL="114300" distR="114300" simplePos="0" relativeHeight="251670528" behindDoc="0" locked="0" layoutInCell="1" allowOverlap="1" wp14:anchorId="644FCE87" wp14:editId="37860FA6">
          <wp:simplePos x="0" y="0"/>
          <wp:positionH relativeFrom="column">
            <wp:posOffset>-544830</wp:posOffset>
          </wp:positionH>
          <wp:positionV relativeFrom="paragraph">
            <wp:posOffset>-307571</wp:posOffset>
          </wp:positionV>
          <wp:extent cx="5054600" cy="850900"/>
          <wp:effectExtent l="0" t="0" r="0" b="0"/>
          <wp:wrapNone/>
          <wp:docPr id="551266005" name="Picture 1" descr="South Dakota State University | School of Health and Human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66005" name="Picture 1" descr="South Dakota State University | School of Health and Human Sciences"/>
                  <pic:cNvPicPr/>
                </pic:nvPicPr>
                <pic:blipFill>
                  <a:blip r:embed="rId1">
                    <a:extLst>
                      <a:ext uri="{28A0092B-C50C-407E-A947-70E740481C1C}">
                        <a14:useLocalDpi xmlns:a14="http://schemas.microsoft.com/office/drawing/2010/main" val="0"/>
                      </a:ext>
                    </a:extLst>
                  </a:blip>
                  <a:stretch>
                    <a:fillRect/>
                  </a:stretch>
                </pic:blipFill>
                <pic:spPr>
                  <a:xfrm>
                    <a:off x="0" y="0"/>
                    <a:ext cx="5054600" cy="850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E94"/>
    <w:multiLevelType w:val="hybridMultilevel"/>
    <w:tmpl w:val="1D74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B4804"/>
    <w:multiLevelType w:val="hybridMultilevel"/>
    <w:tmpl w:val="0CA8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64EA5"/>
    <w:multiLevelType w:val="hybridMultilevel"/>
    <w:tmpl w:val="E8DE1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BC7B1A"/>
    <w:multiLevelType w:val="hybridMultilevel"/>
    <w:tmpl w:val="EE42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02D74"/>
    <w:multiLevelType w:val="hybridMultilevel"/>
    <w:tmpl w:val="E634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01795"/>
    <w:multiLevelType w:val="hybridMultilevel"/>
    <w:tmpl w:val="9AFC5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F235E3"/>
    <w:multiLevelType w:val="hybridMultilevel"/>
    <w:tmpl w:val="5892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0F6221"/>
    <w:multiLevelType w:val="hybridMultilevel"/>
    <w:tmpl w:val="C3BED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546907"/>
    <w:multiLevelType w:val="hybridMultilevel"/>
    <w:tmpl w:val="04662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48FD9E">
      <w:start w:val="3"/>
      <w:numFmt w:val="bullet"/>
      <w:lvlText w:val="•"/>
      <w:lvlJc w:val="left"/>
      <w:pPr>
        <w:ind w:left="3060" w:hanging="360"/>
      </w:pPr>
      <w:rPr>
        <w:rFonts w:ascii="Helvetica" w:eastAsiaTheme="minorHAnsi" w:hAnsi="Helvetic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9470D"/>
    <w:multiLevelType w:val="hybridMultilevel"/>
    <w:tmpl w:val="F74A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F7D1B"/>
    <w:multiLevelType w:val="hybridMultilevel"/>
    <w:tmpl w:val="AB92A5BA"/>
    <w:lvl w:ilvl="0" w:tplc="21E830BA">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273379">
    <w:abstractNumId w:val="1"/>
  </w:num>
  <w:num w:numId="2" w16cid:durableId="1240602675">
    <w:abstractNumId w:val="6"/>
  </w:num>
  <w:num w:numId="3" w16cid:durableId="1795177153">
    <w:abstractNumId w:val="4"/>
  </w:num>
  <w:num w:numId="4" w16cid:durableId="1132359573">
    <w:abstractNumId w:val="10"/>
  </w:num>
  <w:num w:numId="5" w16cid:durableId="191460210">
    <w:abstractNumId w:val="8"/>
  </w:num>
  <w:num w:numId="6" w16cid:durableId="682131412">
    <w:abstractNumId w:val="3"/>
  </w:num>
  <w:num w:numId="7" w16cid:durableId="2130927463">
    <w:abstractNumId w:val="9"/>
  </w:num>
  <w:num w:numId="8" w16cid:durableId="80416679">
    <w:abstractNumId w:val="2"/>
  </w:num>
  <w:num w:numId="9" w16cid:durableId="1640768885">
    <w:abstractNumId w:val="5"/>
  </w:num>
  <w:num w:numId="10" w16cid:durableId="1069690050">
    <w:abstractNumId w:val="7"/>
  </w:num>
  <w:num w:numId="11" w16cid:durableId="69469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4B"/>
    <w:rsid w:val="000132CA"/>
    <w:rsid w:val="00020C6F"/>
    <w:rsid w:val="000520F2"/>
    <w:rsid w:val="0005708C"/>
    <w:rsid w:val="000D3FF3"/>
    <w:rsid w:val="001F4800"/>
    <w:rsid w:val="002025C2"/>
    <w:rsid w:val="0025419C"/>
    <w:rsid w:val="0028734B"/>
    <w:rsid w:val="002B2BA0"/>
    <w:rsid w:val="002F1DA0"/>
    <w:rsid w:val="0031418B"/>
    <w:rsid w:val="003646A6"/>
    <w:rsid w:val="00382CB1"/>
    <w:rsid w:val="003E0A6E"/>
    <w:rsid w:val="0041054C"/>
    <w:rsid w:val="00436E68"/>
    <w:rsid w:val="004538ED"/>
    <w:rsid w:val="0045622E"/>
    <w:rsid w:val="004B499C"/>
    <w:rsid w:val="004E2E2A"/>
    <w:rsid w:val="004E574B"/>
    <w:rsid w:val="004F20E7"/>
    <w:rsid w:val="004F53A0"/>
    <w:rsid w:val="005076D0"/>
    <w:rsid w:val="00511B77"/>
    <w:rsid w:val="00544C01"/>
    <w:rsid w:val="0055056A"/>
    <w:rsid w:val="00566816"/>
    <w:rsid w:val="0057038F"/>
    <w:rsid w:val="00596095"/>
    <w:rsid w:val="005A12F9"/>
    <w:rsid w:val="005C0C52"/>
    <w:rsid w:val="005F6331"/>
    <w:rsid w:val="006347EC"/>
    <w:rsid w:val="006F3213"/>
    <w:rsid w:val="0071791B"/>
    <w:rsid w:val="0072268C"/>
    <w:rsid w:val="00725459"/>
    <w:rsid w:val="00752C34"/>
    <w:rsid w:val="00796692"/>
    <w:rsid w:val="007A05D9"/>
    <w:rsid w:val="007A30D8"/>
    <w:rsid w:val="007B7F20"/>
    <w:rsid w:val="007C364A"/>
    <w:rsid w:val="00846B1A"/>
    <w:rsid w:val="00867CC0"/>
    <w:rsid w:val="008E6909"/>
    <w:rsid w:val="008E7ACA"/>
    <w:rsid w:val="00965C6E"/>
    <w:rsid w:val="00972CD3"/>
    <w:rsid w:val="009F416D"/>
    <w:rsid w:val="00A71163"/>
    <w:rsid w:val="00A92980"/>
    <w:rsid w:val="00AC3212"/>
    <w:rsid w:val="00AF2721"/>
    <w:rsid w:val="00B32017"/>
    <w:rsid w:val="00BF2D46"/>
    <w:rsid w:val="00C026B5"/>
    <w:rsid w:val="00C23F76"/>
    <w:rsid w:val="00C2477A"/>
    <w:rsid w:val="00C27952"/>
    <w:rsid w:val="00C8166C"/>
    <w:rsid w:val="00CC08D4"/>
    <w:rsid w:val="00CD6455"/>
    <w:rsid w:val="00CE2313"/>
    <w:rsid w:val="00D00DAC"/>
    <w:rsid w:val="00D278E1"/>
    <w:rsid w:val="00D31658"/>
    <w:rsid w:val="00D46126"/>
    <w:rsid w:val="00D6651B"/>
    <w:rsid w:val="00D95E51"/>
    <w:rsid w:val="00DE03CF"/>
    <w:rsid w:val="00DE75A7"/>
    <w:rsid w:val="00E02E0C"/>
    <w:rsid w:val="00E0596F"/>
    <w:rsid w:val="00E35912"/>
    <w:rsid w:val="00F25F9F"/>
    <w:rsid w:val="00F47692"/>
    <w:rsid w:val="00F67428"/>
    <w:rsid w:val="00FA44E3"/>
    <w:rsid w:val="00FB66CE"/>
    <w:rsid w:val="00FC65DC"/>
    <w:rsid w:val="00FD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CA80"/>
  <w15:chartTrackingRefBased/>
  <w15:docId w15:val="{50697225-16BD-B645-89F7-FB72CBC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3CF"/>
    <w:pPr>
      <w:autoSpaceDE w:val="0"/>
      <w:autoSpaceDN w:val="0"/>
      <w:adjustRightInd w:val="0"/>
      <w:spacing w:after="240"/>
      <w:jc w:val="center"/>
      <w:outlineLvl w:val="0"/>
    </w:pPr>
    <w:rPr>
      <w:rFonts w:ascii="Helvetica" w:hAnsi="Helvetica" w:cs="Times New Roman"/>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01A"/>
    <w:pPr>
      <w:tabs>
        <w:tab w:val="center" w:pos="4680"/>
        <w:tab w:val="right" w:pos="9360"/>
      </w:tabs>
    </w:pPr>
  </w:style>
  <w:style w:type="character" w:customStyle="1" w:styleId="HeaderChar">
    <w:name w:val="Header Char"/>
    <w:basedOn w:val="DefaultParagraphFont"/>
    <w:link w:val="Header"/>
    <w:uiPriority w:val="99"/>
    <w:rsid w:val="00FD001A"/>
  </w:style>
  <w:style w:type="paragraph" w:styleId="Footer">
    <w:name w:val="footer"/>
    <w:basedOn w:val="Normal"/>
    <w:link w:val="FooterChar"/>
    <w:uiPriority w:val="99"/>
    <w:unhideWhenUsed/>
    <w:rsid w:val="00FD001A"/>
    <w:pPr>
      <w:tabs>
        <w:tab w:val="center" w:pos="4680"/>
        <w:tab w:val="right" w:pos="9360"/>
      </w:tabs>
    </w:pPr>
  </w:style>
  <w:style w:type="character" w:customStyle="1" w:styleId="FooterChar">
    <w:name w:val="Footer Char"/>
    <w:basedOn w:val="DefaultParagraphFont"/>
    <w:link w:val="Footer"/>
    <w:uiPriority w:val="99"/>
    <w:rsid w:val="00FD001A"/>
  </w:style>
  <w:style w:type="paragraph" w:styleId="ListParagraph">
    <w:name w:val="List Paragraph"/>
    <w:basedOn w:val="Normal"/>
    <w:uiPriority w:val="34"/>
    <w:qFormat/>
    <w:rsid w:val="00C2477A"/>
    <w:pPr>
      <w:ind w:left="720"/>
      <w:contextualSpacing/>
    </w:pPr>
  </w:style>
  <w:style w:type="paragraph" w:styleId="BalloonText">
    <w:name w:val="Balloon Text"/>
    <w:basedOn w:val="Normal"/>
    <w:link w:val="BalloonTextChar"/>
    <w:uiPriority w:val="99"/>
    <w:semiHidden/>
    <w:unhideWhenUsed/>
    <w:rsid w:val="00D95E5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95E51"/>
    <w:rPr>
      <w:rFonts w:ascii="Times New Roman" w:hAnsi="Times New Roman"/>
      <w:sz w:val="18"/>
      <w:szCs w:val="18"/>
    </w:rPr>
  </w:style>
  <w:style w:type="character" w:customStyle="1" w:styleId="Heading1Char">
    <w:name w:val="Heading 1 Char"/>
    <w:basedOn w:val="DefaultParagraphFont"/>
    <w:link w:val="Heading1"/>
    <w:uiPriority w:val="9"/>
    <w:rsid w:val="00DE03CF"/>
    <w:rPr>
      <w:rFonts w:ascii="Helvetica" w:hAnsi="Helvetica" w:cs="Times New Roman"/>
      <w:b/>
      <w:sz w:val="22"/>
      <w:szCs w:val="22"/>
      <w:u w:val="single"/>
    </w:rPr>
  </w:style>
  <w:style w:type="character" w:styleId="Hyperlink">
    <w:name w:val="Hyperlink"/>
    <w:basedOn w:val="DefaultParagraphFont"/>
    <w:uiPriority w:val="99"/>
    <w:unhideWhenUsed/>
    <w:rsid w:val="00AF2721"/>
    <w:rPr>
      <w:color w:val="0563C1" w:themeColor="hyperlink"/>
      <w:u w:val="single"/>
    </w:rPr>
  </w:style>
  <w:style w:type="paragraph" w:styleId="Revision">
    <w:name w:val="Revision"/>
    <w:hidden/>
    <w:uiPriority w:val="99"/>
    <w:semiHidden/>
    <w:rsid w:val="004F53A0"/>
  </w:style>
  <w:style w:type="character" w:styleId="UnresolvedMention">
    <w:name w:val="Unresolved Mention"/>
    <w:basedOn w:val="DefaultParagraphFont"/>
    <w:uiPriority w:val="99"/>
    <w:rsid w:val="004F5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tate.edu/news/2024/09/wellness-firefigh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496EE6F-E90C-B74B-B91D-415F0133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Division of Health and Consumer Sciences</vt:lpstr>
    </vt:vector>
  </TitlesOfParts>
  <Manager/>
  <Company/>
  <LinksUpToDate>false</LinksUpToDate>
  <CharactersWithSpaces>3398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Health and Human Sciences</dc:title>
  <dc:subject/>
  <dc:creator>Kieckhefer, Andrea</dc:creator>
  <cp:keywords/>
  <dc:description/>
  <cp:lastModifiedBy>White, Erin E</cp:lastModifiedBy>
  <cp:revision>2</cp:revision>
  <cp:lastPrinted>2018-08-09T13:47:00Z</cp:lastPrinted>
  <dcterms:created xsi:type="dcterms:W3CDTF">2024-12-04T17:23:00Z</dcterms:created>
  <dcterms:modified xsi:type="dcterms:W3CDTF">2024-12-04T17:23:00Z</dcterms:modified>
  <cp:category/>
</cp:coreProperties>
</file>